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3E7" w:rsidRDefault="00D343E7" w:rsidP="00F753CF">
      <w:pPr>
        <w:rPr>
          <w:rFonts w:ascii="Tahoma" w:hAnsi="Tahoma" w:cs="Tahoma"/>
          <w:b/>
        </w:rPr>
      </w:pPr>
    </w:p>
    <w:p w:rsidR="00D578CF" w:rsidRDefault="00D578CF" w:rsidP="00495845">
      <w:pPr>
        <w:rPr>
          <w:rFonts w:ascii="Tahoma" w:hAnsi="Tahoma" w:cs="Tahoma"/>
          <w:b/>
          <w:sz w:val="24"/>
          <w:szCs w:val="24"/>
        </w:rPr>
      </w:pPr>
    </w:p>
    <w:p w:rsidR="009B0669" w:rsidRPr="00D578CF" w:rsidRDefault="00E10947" w:rsidP="00495845">
      <w:pPr>
        <w:rPr>
          <w:rFonts w:ascii="Tahoma" w:hAnsi="Tahoma" w:cs="Tahoma"/>
          <w:b/>
          <w:sz w:val="24"/>
          <w:szCs w:val="24"/>
        </w:rPr>
      </w:pPr>
      <w:r w:rsidRPr="00D578CF">
        <w:rPr>
          <w:rFonts w:ascii="Tahoma" w:hAnsi="Tahoma" w:cs="Tahoma"/>
          <w:b/>
          <w:sz w:val="24"/>
          <w:szCs w:val="24"/>
        </w:rPr>
        <w:t>UK Timber Industry Associations’ Accord</w:t>
      </w:r>
      <w:r w:rsidR="009B0669" w:rsidRPr="00D578CF">
        <w:rPr>
          <w:rFonts w:ascii="Tahoma" w:hAnsi="Tahoma" w:cs="Tahoma"/>
          <w:b/>
          <w:sz w:val="24"/>
          <w:szCs w:val="24"/>
        </w:rPr>
        <w:t xml:space="preserve"> response to the</w:t>
      </w:r>
      <w:r w:rsidR="00F753CF" w:rsidRPr="00D578CF">
        <w:rPr>
          <w:rFonts w:ascii="Tahoma" w:hAnsi="Tahoma" w:cs="Tahoma"/>
          <w:b/>
          <w:sz w:val="24"/>
          <w:szCs w:val="24"/>
        </w:rPr>
        <w:t xml:space="preserve"> </w:t>
      </w:r>
      <w:r w:rsidRPr="00D578CF">
        <w:rPr>
          <w:rFonts w:ascii="Tahoma" w:hAnsi="Tahoma" w:cs="Tahoma"/>
          <w:b/>
          <w:sz w:val="24"/>
          <w:szCs w:val="24"/>
        </w:rPr>
        <w:t>consultation ‘</w:t>
      </w:r>
      <w:r w:rsidR="00F753CF" w:rsidRPr="00D578CF">
        <w:rPr>
          <w:rFonts w:ascii="Tahoma" w:hAnsi="Tahoma" w:cs="Tahoma"/>
          <w:b/>
          <w:sz w:val="24"/>
          <w:szCs w:val="24"/>
        </w:rPr>
        <w:t>Next steps to zero carbon homes: allowable solutions</w:t>
      </w:r>
      <w:r w:rsidRPr="00D578CF">
        <w:rPr>
          <w:rFonts w:ascii="Tahoma" w:hAnsi="Tahoma" w:cs="Tahoma"/>
          <w:b/>
          <w:sz w:val="24"/>
          <w:szCs w:val="24"/>
        </w:rPr>
        <w:t>’</w:t>
      </w:r>
    </w:p>
    <w:p w:rsidR="003E5E60" w:rsidRDefault="003E5E60" w:rsidP="00495845">
      <w:pPr>
        <w:rPr>
          <w:rFonts w:ascii="Tahoma" w:hAnsi="Tahoma" w:cs="Tahoma"/>
          <w:b/>
        </w:rPr>
      </w:pPr>
    </w:p>
    <w:p w:rsidR="00291FA8" w:rsidRPr="00996AD1" w:rsidRDefault="00D343E7" w:rsidP="00495845">
      <w:pPr>
        <w:rPr>
          <w:rFonts w:ascii="Tahoma" w:hAnsi="Tahoma" w:cs="Tahoma"/>
          <w:b/>
        </w:rPr>
      </w:pPr>
      <w:r>
        <w:rPr>
          <w:rFonts w:ascii="Tahoma" w:hAnsi="Tahoma" w:cs="Tahoma"/>
          <w:b/>
        </w:rPr>
        <w:t>Summary of R</w:t>
      </w:r>
      <w:r w:rsidR="00291FA8" w:rsidRPr="00996AD1">
        <w:rPr>
          <w:rFonts w:ascii="Tahoma" w:hAnsi="Tahoma" w:cs="Tahoma"/>
          <w:b/>
        </w:rPr>
        <w:t>esponse</w:t>
      </w:r>
    </w:p>
    <w:p w:rsidR="00D343E7" w:rsidRDefault="00F272A6" w:rsidP="00495845">
      <w:pPr>
        <w:rPr>
          <w:rFonts w:ascii="Tahoma" w:hAnsi="Tahoma" w:cs="Tahoma"/>
        </w:rPr>
      </w:pPr>
      <w:r w:rsidRPr="00996AD1">
        <w:rPr>
          <w:rFonts w:ascii="Tahoma" w:hAnsi="Tahoma" w:cs="Tahoma"/>
        </w:rPr>
        <w:t xml:space="preserve">As we move towards zero carbon buildings, the use of more sustainable materials is becoming increasingly important relative to the impacts of building energy consumption. </w:t>
      </w:r>
    </w:p>
    <w:p w:rsidR="00291FA8" w:rsidRPr="00996AD1" w:rsidRDefault="00D343E7" w:rsidP="00495845">
      <w:pPr>
        <w:rPr>
          <w:rFonts w:ascii="Tahoma" w:hAnsi="Tahoma" w:cs="Tahoma"/>
        </w:rPr>
      </w:pPr>
      <w:r>
        <w:rPr>
          <w:rFonts w:ascii="Tahoma" w:hAnsi="Tahoma" w:cs="Tahoma"/>
        </w:rPr>
        <w:t>This Allowable Solutions</w:t>
      </w:r>
      <w:r w:rsidR="00F272A6" w:rsidRPr="00996AD1">
        <w:rPr>
          <w:rFonts w:ascii="Tahoma" w:hAnsi="Tahoma" w:cs="Tahoma"/>
        </w:rPr>
        <w:t xml:space="preserve"> consultation is an opportunity to emphasise rather than ignore the vital contribution that renewable materials can make. </w:t>
      </w:r>
      <w:r w:rsidR="00291FA8" w:rsidRPr="00996AD1">
        <w:rPr>
          <w:rFonts w:ascii="Tahoma" w:hAnsi="Tahoma" w:cs="Tahoma"/>
        </w:rPr>
        <w:t>We are</w:t>
      </w:r>
      <w:r w:rsidR="00F272A6" w:rsidRPr="00996AD1">
        <w:rPr>
          <w:rFonts w:ascii="Tahoma" w:hAnsi="Tahoma" w:cs="Tahoma"/>
        </w:rPr>
        <w:t xml:space="preserve"> currently of the opinion that Embodied Impact reduction, which benefits the use of more sustainable materials such as timber, should become an Allowable Solution. </w:t>
      </w:r>
      <w:r w:rsidR="00291FA8" w:rsidRPr="00996AD1">
        <w:rPr>
          <w:rFonts w:ascii="Tahoma" w:hAnsi="Tahoma" w:cs="Tahoma"/>
        </w:rPr>
        <w:t>We believe that a</w:t>
      </w:r>
      <w:r w:rsidR="00F272A6" w:rsidRPr="00996AD1">
        <w:rPr>
          <w:rFonts w:ascii="Tahoma" w:hAnsi="Tahoma" w:cs="Tahoma"/>
        </w:rPr>
        <w:t xml:space="preserve"> National Standard for Embodied Impacts shoul</w:t>
      </w:r>
      <w:r w:rsidR="00291FA8" w:rsidRPr="00996AD1">
        <w:rPr>
          <w:rFonts w:ascii="Tahoma" w:hAnsi="Tahoma" w:cs="Tahoma"/>
        </w:rPr>
        <w:t>d be developed following the Housing Standards Review consultation and that this should f</w:t>
      </w:r>
      <w:r w:rsidR="00F272A6" w:rsidRPr="00996AD1">
        <w:rPr>
          <w:rFonts w:ascii="Tahoma" w:hAnsi="Tahoma" w:cs="Tahoma"/>
        </w:rPr>
        <w:t>o</w:t>
      </w:r>
      <w:r w:rsidR="00291FA8" w:rsidRPr="00996AD1">
        <w:rPr>
          <w:rFonts w:ascii="Tahoma" w:hAnsi="Tahoma" w:cs="Tahoma"/>
        </w:rPr>
        <w:t>r</w:t>
      </w:r>
      <w:r w:rsidR="00F272A6" w:rsidRPr="00996AD1">
        <w:rPr>
          <w:rFonts w:ascii="Tahoma" w:hAnsi="Tahoma" w:cs="Tahoma"/>
        </w:rPr>
        <w:t>m the verification route for embodied carbon to be an allowable solution.</w:t>
      </w:r>
    </w:p>
    <w:p w:rsidR="00D343E7" w:rsidRPr="00D578CF" w:rsidRDefault="00F4364B" w:rsidP="00495845">
      <w:pPr>
        <w:rPr>
          <w:rFonts w:ascii="Tahoma" w:hAnsi="Tahoma" w:cs="Tahoma"/>
        </w:rPr>
      </w:pPr>
      <w:r w:rsidRPr="00996AD1">
        <w:rPr>
          <w:rFonts w:ascii="Tahoma" w:hAnsi="Tahoma" w:cs="Tahoma"/>
        </w:rPr>
        <w:t>We welcome</w:t>
      </w:r>
      <w:r w:rsidR="00521B89" w:rsidRPr="00996AD1">
        <w:rPr>
          <w:rFonts w:ascii="Tahoma" w:hAnsi="Tahoma" w:cs="Tahoma"/>
        </w:rPr>
        <w:t xml:space="preserve"> the inclusion of forestry solutions as an Allowable Solution.  One element of the consultation is the geographic region in which this contribution should </w:t>
      </w:r>
      <w:r w:rsidR="00D343E7">
        <w:rPr>
          <w:rFonts w:ascii="Tahoma" w:hAnsi="Tahoma" w:cs="Tahoma"/>
        </w:rPr>
        <w:t>be made, and we</w:t>
      </w:r>
      <w:r w:rsidR="00521B89" w:rsidRPr="00996AD1">
        <w:rPr>
          <w:rFonts w:ascii="Tahoma" w:hAnsi="Tahoma" w:cs="Tahoma"/>
        </w:rPr>
        <w:t xml:space="preserve"> suggest</w:t>
      </w:r>
      <w:r w:rsidR="00D343E7">
        <w:rPr>
          <w:rFonts w:ascii="Tahoma" w:hAnsi="Tahoma" w:cs="Tahoma"/>
        </w:rPr>
        <w:t xml:space="preserve"> that</w:t>
      </w:r>
      <w:r w:rsidR="00521B89" w:rsidRPr="00996AD1">
        <w:rPr>
          <w:rFonts w:ascii="Tahoma" w:hAnsi="Tahoma" w:cs="Tahoma"/>
        </w:rPr>
        <w:t xml:space="preserve"> focus here is on UK as part of a centrally managed strategy ra</w:t>
      </w:r>
      <w:r w:rsidR="009B0669">
        <w:rPr>
          <w:rFonts w:ascii="Tahoma" w:hAnsi="Tahoma" w:cs="Tahoma"/>
        </w:rPr>
        <w:t>ther than local administration.</w:t>
      </w:r>
      <w:r w:rsidR="00521B89" w:rsidRPr="00996AD1">
        <w:rPr>
          <w:rFonts w:ascii="Tahoma" w:hAnsi="Tahoma" w:cs="Tahoma"/>
        </w:rPr>
        <w:t xml:space="preserve"> Great strides are being made here as part of the Grown in Britain </w:t>
      </w:r>
      <w:r w:rsidR="003E5E60">
        <w:rPr>
          <w:rStyle w:val="FootnoteReference"/>
          <w:rFonts w:ascii="Tahoma" w:hAnsi="Tahoma" w:cs="Tahoma"/>
        </w:rPr>
        <w:footnoteReference w:id="1"/>
      </w:r>
      <w:r w:rsidR="00521B89" w:rsidRPr="00996AD1">
        <w:rPr>
          <w:rFonts w:ascii="Tahoma" w:hAnsi="Tahoma" w:cs="Tahoma"/>
        </w:rPr>
        <w:t>Initiative.</w:t>
      </w:r>
    </w:p>
    <w:p w:rsidR="00D343E7" w:rsidRDefault="00D343E7" w:rsidP="00495845">
      <w:pPr>
        <w:rPr>
          <w:rFonts w:ascii="Tahoma" w:hAnsi="Tahoma" w:cs="Tahoma"/>
          <w:b/>
        </w:rPr>
      </w:pPr>
    </w:p>
    <w:p w:rsidR="00973A2F" w:rsidRPr="00996AD1" w:rsidRDefault="00973A2F" w:rsidP="00495845">
      <w:pPr>
        <w:rPr>
          <w:rFonts w:ascii="Tahoma" w:hAnsi="Tahoma" w:cs="Tahoma"/>
          <w:b/>
        </w:rPr>
      </w:pPr>
      <w:r w:rsidRPr="00996AD1">
        <w:rPr>
          <w:rFonts w:ascii="Tahoma" w:hAnsi="Tahoma" w:cs="Tahoma"/>
          <w:b/>
        </w:rPr>
        <w:t>Suggested Outcome</w:t>
      </w:r>
    </w:p>
    <w:p w:rsidR="00E9692E" w:rsidRPr="00D343E7" w:rsidRDefault="00E9692E" w:rsidP="00E9692E">
      <w:pPr>
        <w:rPr>
          <w:rFonts w:ascii="Tahoma" w:hAnsi="Tahoma" w:cs="Tahoma"/>
        </w:rPr>
      </w:pPr>
      <w:r w:rsidRPr="00D343E7">
        <w:rPr>
          <w:rFonts w:ascii="Tahoma" w:hAnsi="Tahoma" w:cs="Tahoma"/>
        </w:rPr>
        <w:t xml:space="preserve">As the operational carbon use </w:t>
      </w:r>
      <w:r w:rsidR="009B0669" w:rsidRPr="00D343E7">
        <w:rPr>
          <w:rFonts w:ascii="Tahoma" w:hAnsi="Tahoma" w:cs="Tahoma"/>
        </w:rPr>
        <w:t xml:space="preserve">in new buildings </w:t>
      </w:r>
      <w:r w:rsidRPr="00D343E7">
        <w:rPr>
          <w:rFonts w:ascii="Tahoma" w:hAnsi="Tahoma" w:cs="Tahoma"/>
        </w:rPr>
        <w:t xml:space="preserve">becomes </w:t>
      </w:r>
      <w:r w:rsidR="009B0669" w:rsidRPr="00D343E7">
        <w:rPr>
          <w:rFonts w:ascii="Tahoma" w:hAnsi="Tahoma" w:cs="Tahoma"/>
        </w:rPr>
        <w:t>less, the critical element</w:t>
      </w:r>
      <w:r w:rsidRPr="00D343E7">
        <w:rPr>
          <w:rFonts w:ascii="Tahoma" w:hAnsi="Tahoma" w:cs="Tahoma"/>
        </w:rPr>
        <w:t xml:space="preserve"> in terms of the lifetime carbon ‘footprint’ of the building is the materials used to build them.  </w:t>
      </w:r>
    </w:p>
    <w:p w:rsidR="00E9692E" w:rsidRPr="00147DF7" w:rsidRDefault="00D578CF" w:rsidP="00E9692E">
      <w:pPr>
        <w:rPr>
          <w:rFonts w:ascii="Tahoma" w:hAnsi="Tahoma" w:cs="Tahoma"/>
        </w:rPr>
      </w:pPr>
      <w:r>
        <w:rPr>
          <w:rFonts w:ascii="Tahoma" w:hAnsi="Tahoma" w:cs="Tahoma"/>
        </w:rPr>
        <w:t xml:space="preserve">The </w:t>
      </w:r>
      <w:r w:rsidR="00DC00B3">
        <w:rPr>
          <w:rFonts w:ascii="Tahoma" w:hAnsi="Tahoma" w:cs="Tahoma"/>
        </w:rPr>
        <w:t xml:space="preserve">included </w:t>
      </w:r>
      <w:r>
        <w:rPr>
          <w:rFonts w:ascii="Tahoma" w:hAnsi="Tahoma" w:cs="Tahoma"/>
        </w:rPr>
        <w:t>case study on timber windows indicates that i</w:t>
      </w:r>
      <w:r w:rsidR="00E9692E" w:rsidRPr="00D343E7">
        <w:rPr>
          <w:rFonts w:ascii="Tahoma" w:hAnsi="Tahoma" w:cs="Tahoma"/>
        </w:rPr>
        <w:t>f sustainably produced renewable materials are</w:t>
      </w:r>
      <w:r w:rsidR="009B0669" w:rsidRPr="00D343E7">
        <w:rPr>
          <w:rFonts w:ascii="Tahoma" w:hAnsi="Tahoma" w:cs="Tahoma"/>
        </w:rPr>
        <w:t xml:space="preserve"> used within a product </w:t>
      </w:r>
      <w:r w:rsidR="00CF3415" w:rsidRPr="00D343E7">
        <w:rPr>
          <w:rFonts w:ascii="Tahoma" w:hAnsi="Tahoma" w:cs="Tahoma"/>
        </w:rPr>
        <w:t>to build houses</w:t>
      </w:r>
      <w:r w:rsidR="00DC00B3">
        <w:rPr>
          <w:rFonts w:ascii="Tahoma" w:hAnsi="Tahoma" w:cs="Tahoma"/>
        </w:rPr>
        <w:t>,</w:t>
      </w:r>
      <w:r w:rsidR="00CF3415" w:rsidRPr="00D343E7">
        <w:rPr>
          <w:rFonts w:ascii="Tahoma" w:hAnsi="Tahoma" w:cs="Tahoma"/>
        </w:rPr>
        <w:t xml:space="preserve"> and their embodied carbon</w:t>
      </w:r>
      <w:r w:rsidR="00E9692E" w:rsidRPr="00D343E7">
        <w:rPr>
          <w:rFonts w:ascii="Tahoma" w:hAnsi="Tahoma" w:cs="Tahoma"/>
        </w:rPr>
        <w:t xml:space="preserve"> is taken into account</w:t>
      </w:r>
      <w:r w:rsidR="00D343E7" w:rsidRPr="00D343E7">
        <w:rPr>
          <w:rFonts w:ascii="Tahoma" w:hAnsi="Tahoma" w:cs="Tahoma"/>
        </w:rPr>
        <w:t>,</w:t>
      </w:r>
      <w:r w:rsidR="00E9692E" w:rsidRPr="00D343E7">
        <w:rPr>
          <w:rFonts w:ascii="Tahoma" w:hAnsi="Tahoma" w:cs="Tahoma"/>
        </w:rPr>
        <w:t xml:space="preserve"> the mat</w:t>
      </w:r>
      <w:r w:rsidR="00CF3415" w:rsidRPr="00D343E7">
        <w:rPr>
          <w:rFonts w:ascii="Tahoma" w:hAnsi="Tahoma" w:cs="Tahoma"/>
        </w:rPr>
        <w:t>erials used wi</w:t>
      </w:r>
      <w:r>
        <w:rPr>
          <w:rFonts w:ascii="Tahoma" w:hAnsi="Tahoma" w:cs="Tahoma"/>
        </w:rPr>
        <w:t>ll have</w:t>
      </w:r>
      <w:r w:rsidR="00CF3415" w:rsidRPr="00D343E7">
        <w:rPr>
          <w:rFonts w:ascii="Tahoma" w:hAnsi="Tahoma" w:cs="Tahoma"/>
        </w:rPr>
        <w:t xml:space="preserve"> a major effect in reducing</w:t>
      </w:r>
      <w:r w:rsidR="00E9692E" w:rsidRPr="00D343E7">
        <w:rPr>
          <w:rFonts w:ascii="Tahoma" w:hAnsi="Tahoma" w:cs="Tahoma"/>
        </w:rPr>
        <w:t xml:space="preserve"> the lifetime carbon ‘footprin</w:t>
      </w:r>
      <w:r w:rsidR="00D343E7" w:rsidRPr="00D343E7">
        <w:rPr>
          <w:rFonts w:ascii="Tahoma" w:hAnsi="Tahoma" w:cs="Tahoma"/>
        </w:rPr>
        <w:t>t’ for that building. It is the renewable and sustainable nature of the material which allows it to store the carbon both during the growing phase and then the use phase. The use of such</w:t>
      </w:r>
      <w:r w:rsidR="00E9692E" w:rsidRPr="00D343E7">
        <w:rPr>
          <w:rFonts w:ascii="Tahoma" w:hAnsi="Tahoma" w:cs="Tahoma"/>
        </w:rPr>
        <w:t xml:space="preserve"> material</w:t>
      </w:r>
      <w:r w:rsidR="00FB52A4" w:rsidRPr="00D343E7">
        <w:rPr>
          <w:rFonts w:ascii="Tahoma" w:hAnsi="Tahoma" w:cs="Tahoma"/>
        </w:rPr>
        <w:t>s</w:t>
      </w:r>
      <w:r w:rsidR="00D343E7" w:rsidRPr="00D343E7">
        <w:rPr>
          <w:rFonts w:ascii="Tahoma" w:hAnsi="Tahoma" w:cs="Tahoma"/>
        </w:rPr>
        <w:t xml:space="preserve"> is therefore</w:t>
      </w:r>
      <w:r w:rsidR="00E9692E" w:rsidRPr="00D343E7">
        <w:rPr>
          <w:rFonts w:ascii="Tahoma" w:hAnsi="Tahoma" w:cs="Tahoma"/>
        </w:rPr>
        <w:t xml:space="preserve"> one of the </w:t>
      </w:r>
      <w:r w:rsidR="00E9692E" w:rsidRPr="00147DF7">
        <w:rPr>
          <w:rFonts w:ascii="Tahoma" w:hAnsi="Tahoma" w:cs="Tahoma"/>
        </w:rPr>
        <w:t>solutions for achieving zero c</w:t>
      </w:r>
      <w:r w:rsidR="00FB52A4" w:rsidRPr="00147DF7">
        <w:rPr>
          <w:rFonts w:ascii="Tahoma" w:hAnsi="Tahoma" w:cs="Tahoma"/>
        </w:rPr>
        <w:t>arbon homes</w:t>
      </w:r>
      <w:r w:rsidR="00E9692E" w:rsidRPr="00147DF7">
        <w:rPr>
          <w:rFonts w:ascii="Tahoma" w:hAnsi="Tahoma" w:cs="Tahoma"/>
        </w:rPr>
        <w:t>.</w:t>
      </w:r>
    </w:p>
    <w:p w:rsidR="00973A2F" w:rsidRPr="00996AD1" w:rsidRDefault="00973A2F" w:rsidP="00495845">
      <w:pPr>
        <w:rPr>
          <w:rFonts w:ascii="Tahoma" w:hAnsi="Tahoma" w:cs="Tahoma"/>
        </w:rPr>
      </w:pPr>
      <w:r w:rsidRPr="00996AD1">
        <w:rPr>
          <w:rFonts w:ascii="Tahoma" w:hAnsi="Tahoma" w:cs="Tahoma"/>
        </w:rPr>
        <w:t>When considering the Allowable Solutions Criteria, use of renewable material should be offset against Allowable Solution contribution to reward sustainable choice (as per current waiving of the Merton Rule in areas like Hackney based on rene</w:t>
      </w:r>
      <w:r w:rsidR="00FC0C6A" w:rsidRPr="00996AD1">
        <w:rPr>
          <w:rFonts w:ascii="Tahoma" w:hAnsi="Tahoma" w:cs="Tahoma"/>
        </w:rPr>
        <w:t>wable choice).</w:t>
      </w:r>
    </w:p>
    <w:p w:rsidR="00973A2F" w:rsidRPr="00996AD1" w:rsidRDefault="002B2C43" w:rsidP="00495845">
      <w:pPr>
        <w:rPr>
          <w:rFonts w:ascii="Tahoma" w:hAnsi="Tahoma" w:cs="Tahoma"/>
          <w:b/>
        </w:rPr>
      </w:pPr>
      <w:r w:rsidRPr="002B2C43">
        <w:rPr>
          <w:rFonts w:ascii="Tahoma" w:hAnsi="Tahoma" w:cs="Tahoma"/>
          <w:b/>
          <w:noProof/>
          <w:lang w:val="en-US"/>
        </w:rPr>
        <w:lastRenderedPageBreak/>
        <w:pict>
          <v:shapetype id="_x0000_t202" coordsize="21600,21600" o:spt="202" path="m,l,21600r21600,l21600,xe">
            <v:stroke joinstyle="miter"/>
            <v:path gradientshapeok="t" o:connecttype="rect"/>
          </v:shapetype>
          <v:shape id="Text Box 2" o:spid="_x0000_s1028" type="#_x0000_t202" style="position:absolute;margin-left:318.9pt;margin-top:70.6pt;width:113.9pt;height:5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PSHwIAAB0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" stroked="f">
            <v:textbox>
              <w:txbxContent>
                <w:p w:rsidR="00922477" w:rsidRDefault="00922477">
                  <w:r>
                    <w:t>Renewables offset</w:t>
                  </w:r>
                </w:p>
              </w:txbxContent>
            </v:textbox>
          </v:shape>
        </w:pict>
      </w:r>
      <w:r w:rsidRPr="002B2C43">
        <w:rPr>
          <w:rFonts w:ascii="Tahoma" w:hAnsi="Tahoma" w:cs="Tahoma"/>
          <w:noProof/>
          <w:lang w:val="en-US"/>
        </w:rPr>
        <w:pict>
          <v:shapetype id="_x0000_t32" coordsize="21600,21600" o:spt="32" o:oned="t" path="m,l21600,21600e" filled="f">
            <v:path arrowok="t" fillok="f" o:connecttype="none"/>
            <o:lock v:ext="edit" shapetype="t"/>
          </v:shapetype>
          <v:shape id="Straight Arrow Connector 5" o:spid="_x0000_s1027" type="#_x0000_t32" style="position:absolute;margin-left:279.8pt;margin-top:84.35pt;width:47.4pt;height:20.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" strokecolor="#4579b8 [3044]">
            <v:stroke endarrow="open"/>
            <o:lock v:ext="edit" shapetype="f"/>
          </v:shape>
        </w:pict>
      </w:r>
      <w:r w:rsidRPr="002B2C43">
        <w:rPr>
          <w:rFonts w:ascii="Tahoma" w:hAnsi="Tahoma" w:cs="Tahoma"/>
          <w:noProof/>
          <w:lang w:val="en-US"/>
        </w:rPr>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56.1pt" to="260.65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" strokecolor="#4579b8 [3044]">
            <o:lock v:ext="edit" shapetype="f"/>
          </v:line>
        </w:pict>
      </w:r>
      <w:r w:rsidR="00D732CF" w:rsidRPr="00996AD1">
        <w:rPr>
          <w:rFonts w:ascii="Tahoma" w:hAnsi="Tahoma" w:cs="Tahoma"/>
          <w:noProof/>
          <w:lang w:eastAsia="en-GB"/>
        </w:rPr>
        <w:drawing>
          <wp:inline distT="0" distB="0" distL="0" distR="0">
            <wp:extent cx="5731510" cy="387063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731510" cy="3870630"/>
                    </a:xfrm>
                    <a:prstGeom prst="rect">
                      <a:avLst/>
                    </a:prstGeom>
                  </pic:spPr>
                </pic:pic>
              </a:graphicData>
            </a:graphic>
          </wp:inline>
        </w:drawing>
      </w:r>
    </w:p>
    <w:p w:rsidR="00D732CF" w:rsidRPr="00996AD1" w:rsidRDefault="00DC00B3" w:rsidP="00D732CF">
      <w:pPr>
        <w:autoSpaceDE w:val="0"/>
        <w:autoSpaceDN w:val="0"/>
        <w:adjustRightInd w:val="0"/>
        <w:rPr>
          <w:rFonts w:ascii="Tahoma" w:hAnsi="Tahoma" w:cs="Tahoma"/>
        </w:rPr>
      </w:pPr>
      <w:r>
        <w:rPr>
          <w:rFonts w:ascii="Tahoma" w:hAnsi="Tahoma" w:cs="Tahoma"/>
        </w:rPr>
        <w:t>We feel that t</w:t>
      </w:r>
      <w:r w:rsidR="00D732CF" w:rsidRPr="00996AD1">
        <w:rPr>
          <w:rFonts w:ascii="Tahoma" w:hAnsi="Tahoma" w:cs="Tahoma"/>
        </w:rPr>
        <w:t>he Housing Standards Review presents a unique opportunity to develop a ‘Nationally Described Standard’ for embodied impact.  The publication of EN 15804 giving a harmonised method for assessing the environmental impact of products make it clear what embodied impact statements should embrace</w:t>
      </w:r>
      <w:r w:rsidR="00FC561C" w:rsidRPr="00996AD1">
        <w:rPr>
          <w:rFonts w:ascii="Tahoma" w:hAnsi="Tahoma" w:cs="Tahoma"/>
        </w:rPr>
        <w:t>.</w:t>
      </w:r>
    </w:p>
    <w:p w:rsidR="00147DF7" w:rsidRPr="00147DF7" w:rsidRDefault="00D732CF" w:rsidP="00147DF7">
      <w:pPr>
        <w:autoSpaceDE w:val="0"/>
        <w:autoSpaceDN w:val="0"/>
        <w:adjustRightInd w:val="0"/>
        <w:rPr>
          <w:rFonts w:ascii="Tahoma" w:hAnsi="Tahoma" w:cs="Tahoma"/>
        </w:rPr>
      </w:pPr>
      <w:r w:rsidRPr="00147DF7">
        <w:rPr>
          <w:rFonts w:ascii="Tahoma" w:hAnsi="Tahoma" w:cs="Tahoma"/>
        </w:rPr>
        <w:t>A working group should be established to consider a Nationally Described Standard for embodied impact.</w:t>
      </w:r>
      <w:bookmarkStart w:id="0" w:name="_GoBack"/>
      <w:bookmarkEnd w:id="0"/>
    </w:p>
    <w:p w:rsidR="00D578CF" w:rsidRDefault="00D578CF" w:rsidP="00147DF7">
      <w:pPr>
        <w:autoSpaceDE w:val="0"/>
        <w:autoSpaceDN w:val="0"/>
        <w:adjustRightInd w:val="0"/>
        <w:rPr>
          <w:rFonts w:ascii="Tahoma" w:hAnsi="Tahoma" w:cs="Tahoma"/>
          <w:b/>
        </w:rPr>
      </w:pPr>
    </w:p>
    <w:p w:rsidR="00D578CF" w:rsidRPr="00996AD1" w:rsidRDefault="00D578CF" w:rsidP="00D578CF">
      <w:pPr>
        <w:rPr>
          <w:rFonts w:ascii="Tahoma" w:hAnsi="Tahoma" w:cs="Tahoma"/>
          <w:b/>
        </w:rPr>
      </w:pPr>
      <w:r w:rsidRPr="00996AD1">
        <w:rPr>
          <w:rFonts w:ascii="Tahoma" w:hAnsi="Tahoma" w:cs="Tahoma"/>
          <w:b/>
        </w:rPr>
        <w:t>Case Study: Timber Windows</w:t>
      </w:r>
    </w:p>
    <w:p w:rsidR="00D578CF" w:rsidRPr="00996AD1" w:rsidRDefault="00D578CF" w:rsidP="00D578CF">
      <w:pPr>
        <w:rPr>
          <w:rFonts w:ascii="Tahoma" w:hAnsi="Tahoma" w:cs="Tahoma"/>
        </w:rPr>
      </w:pPr>
      <w:r w:rsidRPr="00996AD1">
        <w:rPr>
          <w:rFonts w:ascii="Tahoma" w:hAnsi="Tahoma" w:cs="Tahoma"/>
        </w:rPr>
        <w:t xml:space="preserve">Conducted within ISO 14040 and PAS2050 guidelines, using </w:t>
      </w:r>
      <w:proofErr w:type="spellStart"/>
      <w:r w:rsidRPr="00996AD1">
        <w:rPr>
          <w:rFonts w:ascii="Tahoma" w:hAnsi="Tahoma" w:cs="Tahoma"/>
        </w:rPr>
        <w:t>SimaPro</w:t>
      </w:r>
      <w:proofErr w:type="spellEnd"/>
      <w:r w:rsidRPr="00996AD1">
        <w:rPr>
          <w:rFonts w:ascii="Tahoma" w:hAnsi="Tahoma" w:cs="Tahoma"/>
        </w:rPr>
        <w:t xml:space="preserve"> 7.3.2 software and the </w:t>
      </w:r>
      <w:proofErr w:type="spellStart"/>
      <w:r w:rsidRPr="00996AD1">
        <w:rPr>
          <w:rFonts w:ascii="Tahoma" w:hAnsi="Tahoma" w:cs="Tahoma"/>
        </w:rPr>
        <w:t>Ecoinvent</w:t>
      </w:r>
      <w:proofErr w:type="spellEnd"/>
      <w:r w:rsidRPr="00996AD1">
        <w:rPr>
          <w:rFonts w:ascii="Tahoma" w:hAnsi="Tahoma" w:cs="Tahoma"/>
        </w:rPr>
        <w:t xml:space="preserve"> 2.2 database, the </w:t>
      </w:r>
      <w:proofErr w:type="spellStart"/>
      <w:r w:rsidRPr="00996AD1">
        <w:rPr>
          <w:rFonts w:ascii="Tahoma" w:hAnsi="Tahoma" w:cs="Tahoma"/>
        </w:rPr>
        <w:t>Heriot</w:t>
      </w:r>
      <w:proofErr w:type="spellEnd"/>
      <w:r w:rsidRPr="00996AD1">
        <w:rPr>
          <w:rFonts w:ascii="Tahoma" w:hAnsi="Tahoma" w:cs="Tahoma"/>
        </w:rPr>
        <w:t xml:space="preserve"> Watt report </w:t>
      </w:r>
      <w:r>
        <w:rPr>
          <w:rStyle w:val="FootnoteReference"/>
          <w:rFonts w:ascii="Tahoma" w:hAnsi="Tahoma" w:cs="Tahoma"/>
        </w:rPr>
        <w:footnoteReference w:id="2"/>
      </w:r>
      <w:r w:rsidRPr="00996AD1">
        <w:rPr>
          <w:rFonts w:ascii="Tahoma" w:hAnsi="Tahoma" w:cs="Tahoma"/>
        </w:rPr>
        <w:t>sets a new standard for the whole life cycle appraisal of windows demonstrating that timber window frames are the most environmentally friendly choice and offer the best value in normal conditions.</w:t>
      </w:r>
    </w:p>
    <w:p w:rsidR="00D578CF" w:rsidRPr="00996AD1" w:rsidRDefault="00D578CF" w:rsidP="00D578CF">
      <w:pPr>
        <w:rPr>
          <w:rFonts w:ascii="Tahoma" w:hAnsi="Tahoma" w:cs="Tahoma"/>
        </w:rPr>
      </w:pPr>
      <w:r w:rsidRPr="00996AD1">
        <w:rPr>
          <w:rFonts w:ascii="Tahoma" w:hAnsi="Tahoma" w:cs="Tahoma"/>
        </w:rPr>
        <w:t xml:space="preserve">Energy is needed to create buildings through extraction and processing of raw materials, manufacture of finished products and components, during construction, to transport materials and products to site, to maintain components and to process materials at their </w:t>
      </w:r>
      <w:r w:rsidRPr="00996AD1">
        <w:rPr>
          <w:rFonts w:ascii="Tahoma" w:hAnsi="Tahoma" w:cs="Tahoma"/>
        </w:rPr>
        <w:lastRenderedPageBreak/>
        <w:t>end-of-life to recycle and/or dispose of materials this is accepted Life Cycle Assessment (LCA) thinking.</w:t>
      </w:r>
    </w:p>
    <w:p w:rsidR="00D578CF" w:rsidRPr="00996AD1" w:rsidRDefault="00D578CF" w:rsidP="00D578CF">
      <w:pPr>
        <w:rPr>
          <w:rFonts w:ascii="Tahoma" w:hAnsi="Tahoma" w:cs="Tahoma"/>
        </w:rPr>
      </w:pPr>
      <w:r w:rsidRPr="00996AD1">
        <w:rPr>
          <w:rFonts w:ascii="Tahoma" w:hAnsi="Tahoma" w:cs="Tahoma"/>
          <w:bCs/>
        </w:rPr>
        <w:t>Global Warming Potential</w:t>
      </w:r>
      <w:r w:rsidRPr="00996AD1">
        <w:rPr>
          <w:rFonts w:ascii="Tahoma" w:hAnsi="Tahoma" w:cs="Tahoma"/>
          <w:b/>
          <w:bCs/>
        </w:rPr>
        <w:t xml:space="preserve"> </w:t>
      </w:r>
      <w:r w:rsidRPr="00996AD1">
        <w:rPr>
          <w:rFonts w:ascii="Tahoma" w:hAnsi="Tahoma" w:cs="Tahoma"/>
        </w:rPr>
        <w:t>is a relative measure of how much heat a greenhouse gas traps in the Earth’s atmosphere. It is measured in Carbon Dioxide equivalency (CO</w:t>
      </w:r>
      <w:r w:rsidRPr="00996AD1">
        <w:rPr>
          <w:rFonts w:ascii="Tahoma" w:hAnsi="Tahoma" w:cs="Tahoma"/>
          <w:sz w:val="14"/>
          <w:szCs w:val="14"/>
        </w:rPr>
        <w:t>2</w:t>
      </w:r>
      <w:r>
        <w:rPr>
          <w:rFonts w:ascii="Tahoma" w:hAnsi="Tahoma" w:cs="Tahoma"/>
        </w:rPr>
        <w:t>e).</w:t>
      </w:r>
    </w:p>
    <w:p w:rsidR="00D578CF" w:rsidRPr="00996AD1" w:rsidRDefault="00D578CF" w:rsidP="00D578CF">
      <w:pPr>
        <w:rPr>
          <w:rFonts w:ascii="Tahoma" w:hAnsi="Tahoma" w:cs="Tahoma"/>
        </w:rPr>
      </w:pPr>
      <w:r w:rsidRPr="00996AD1">
        <w:rPr>
          <w:rFonts w:ascii="Tahoma" w:hAnsi="Tahoma" w:cs="Tahoma"/>
        </w:rPr>
        <w:t>Generally speaking a material, product or component has three main stages to its cradle to grave carbon lifecycle; Embodied Carbon (EC), Operational Carbon (OC) and End of Life carbon (</w:t>
      </w:r>
      <w:proofErr w:type="spellStart"/>
      <w:r w:rsidRPr="00996AD1">
        <w:rPr>
          <w:rFonts w:ascii="Tahoma" w:hAnsi="Tahoma" w:cs="Tahoma"/>
        </w:rPr>
        <w:t>EoL</w:t>
      </w:r>
      <w:proofErr w:type="spellEnd"/>
      <w:r w:rsidRPr="00996AD1">
        <w:rPr>
          <w:rFonts w:ascii="Tahoma" w:hAnsi="Tahoma" w:cs="Tahoma"/>
        </w:rPr>
        <w:t>). In the case of windows, maintenance is captured under the operational energy stage.</w:t>
      </w:r>
    </w:p>
    <w:p w:rsidR="00D578CF" w:rsidRPr="00996AD1" w:rsidRDefault="00D578CF" w:rsidP="00D578CF">
      <w:pPr>
        <w:rPr>
          <w:rFonts w:ascii="Tahoma" w:hAnsi="Tahoma" w:cs="Tahoma"/>
        </w:rPr>
      </w:pPr>
      <w:r w:rsidRPr="00996AD1">
        <w:rPr>
          <w:rFonts w:ascii="Tahoma" w:hAnsi="Tahoma" w:cs="Tahoma"/>
          <w:noProof/>
          <w:lang w:eastAsia="en-GB"/>
        </w:rPr>
        <w:drawing>
          <wp:inline distT="0" distB="0" distL="0" distR="0">
            <wp:extent cx="5731510" cy="2870041"/>
            <wp:effectExtent l="0" t="0" r="254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731510" cy="2870041"/>
                    </a:xfrm>
                    <a:prstGeom prst="rect">
                      <a:avLst/>
                    </a:prstGeom>
                  </pic:spPr>
                </pic:pic>
              </a:graphicData>
            </a:graphic>
          </wp:inline>
        </w:drawing>
      </w:r>
    </w:p>
    <w:p w:rsidR="00D578CF" w:rsidRPr="00996AD1" w:rsidRDefault="00D578CF" w:rsidP="00D578CF">
      <w:pPr>
        <w:rPr>
          <w:rFonts w:ascii="Tahoma" w:hAnsi="Tahoma" w:cs="Tahoma"/>
        </w:rPr>
      </w:pPr>
      <w:r w:rsidRPr="00996AD1">
        <w:rPr>
          <w:rFonts w:ascii="Tahoma" w:hAnsi="Tahoma" w:cs="Tahoma"/>
        </w:rPr>
        <w:t xml:space="preserve">Timber based window options have negative values due to the carbon storage effect of timber during its growth phase. This is the case for all End of Life assumptions (base case based assumes current </w:t>
      </w:r>
      <w:proofErr w:type="spellStart"/>
      <w:r w:rsidRPr="00996AD1">
        <w:rPr>
          <w:rFonts w:ascii="Tahoma" w:hAnsi="Tahoma" w:cs="Tahoma"/>
        </w:rPr>
        <w:t>EoL</w:t>
      </w:r>
      <w:proofErr w:type="spellEnd"/>
      <w:r w:rsidRPr="00996AD1">
        <w:rPr>
          <w:rFonts w:ascii="Tahoma" w:hAnsi="Tahoma" w:cs="Tahoma"/>
        </w:rPr>
        <w:t xml:space="preserve"> treatments for the various frame materials endures) and providing timber is sustainably sourced.  The conclusion is that using a timber window frame instead of PVC-U saves roughly 160kgs CO2e over 60 Years in average conditions. In a house with 10 windows, that’s over 1.5 Tonnes CO2e.</w:t>
      </w:r>
    </w:p>
    <w:p w:rsidR="00D578CF" w:rsidRDefault="00D578CF" w:rsidP="00D578CF">
      <w:pPr>
        <w:rPr>
          <w:rFonts w:ascii="Tahoma" w:hAnsi="Tahoma" w:cs="Tahoma"/>
        </w:rPr>
      </w:pPr>
      <w:r w:rsidRPr="00996AD1">
        <w:rPr>
          <w:rFonts w:ascii="Tahoma" w:hAnsi="Tahoma" w:cs="Tahoma"/>
        </w:rPr>
        <w:t xml:space="preserve">This information is currently being applied to the Green Guide to update the current timber window frame ratings.  This information can be applied, using EN15804 methodology, to produce Environmental Profile Certificates (EPCs) for products, which is then fed into IMPACT and BIM datasets.  </w:t>
      </w:r>
      <w:r w:rsidR="004B01FC">
        <w:rPr>
          <w:rFonts w:ascii="Tahoma" w:hAnsi="Tahoma" w:cs="Tahoma"/>
        </w:rPr>
        <w:br/>
      </w:r>
    </w:p>
    <w:p w:rsidR="00D578CF" w:rsidRPr="00D343E7" w:rsidRDefault="00D578CF" w:rsidP="00D578CF">
      <w:pPr>
        <w:rPr>
          <w:rFonts w:ascii="Tahoma" w:hAnsi="Tahoma" w:cs="Tahoma"/>
        </w:rPr>
      </w:pPr>
      <w:r w:rsidRPr="00996AD1">
        <w:rPr>
          <w:rFonts w:ascii="Tahoma" w:hAnsi="Tahoma" w:cs="Tahoma"/>
        </w:rPr>
        <w:t>The above logic can now easily be applied to all products</w:t>
      </w:r>
      <w:r w:rsidR="004B01FC">
        <w:rPr>
          <w:rFonts w:ascii="Tahoma" w:hAnsi="Tahoma" w:cs="Tahoma"/>
        </w:rPr>
        <w:t>, for example the use of timber joist or wood based panels,</w:t>
      </w:r>
      <w:r w:rsidRPr="00996AD1">
        <w:rPr>
          <w:rFonts w:ascii="Tahoma" w:hAnsi="Tahoma" w:cs="Tahoma"/>
        </w:rPr>
        <w:t xml:space="preserve"> and we should be seeking to </w:t>
      </w:r>
      <w:r w:rsidRPr="00D343E7">
        <w:rPr>
          <w:rFonts w:ascii="Tahoma" w:hAnsi="Tahoma" w:cs="Tahoma"/>
        </w:rPr>
        <w:t>capitalise on and reward sustainable/renewable choices.</w:t>
      </w:r>
    </w:p>
    <w:p w:rsidR="00AA38DE" w:rsidRPr="004B01FC" w:rsidRDefault="004B01FC" w:rsidP="00147DF7">
      <w:pPr>
        <w:autoSpaceDE w:val="0"/>
        <w:autoSpaceDN w:val="0"/>
        <w:adjustRightInd w:val="0"/>
        <w:rPr>
          <w:rFonts w:ascii="Tahoma" w:hAnsi="Tahoma" w:cs="Tahoma"/>
          <w:i/>
        </w:rPr>
      </w:pPr>
      <w:r>
        <w:rPr>
          <w:rFonts w:ascii="Tahoma" w:hAnsi="Tahoma" w:cs="Tahoma"/>
          <w:b/>
        </w:rPr>
        <w:br/>
      </w:r>
      <w:r w:rsidR="00CF3415" w:rsidRPr="004B01FC">
        <w:rPr>
          <w:rFonts w:ascii="Tahoma" w:hAnsi="Tahoma" w:cs="Tahoma"/>
          <w:i/>
        </w:rPr>
        <w:t xml:space="preserve">Matt Mahony, </w:t>
      </w:r>
      <w:r w:rsidR="00AA38DE" w:rsidRPr="004B01FC">
        <w:rPr>
          <w:rFonts w:ascii="Tahoma" w:hAnsi="Tahoma" w:cs="Tahoma"/>
          <w:i/>
        </w:rPr>
        <w:t>B</w:t>
      </w:r>
      <w:r w:rsidR="003E5E60" w:rsidRPr="004B01FC">
        <w:rPr>
          <w:rFonts w:ascii="Tahoma" w:hAnsi="Tahoma" w:cs="Tahoma"/>
          <w:i/>
        </w:rPr>
        <w:t xml:space="preserve">ritish </w:t>
      </w:r>
      <w:r w:rsidR="00AA38DE" w:rsidRPr="004B01FC">
        <w:rPr>
          <w:rFonts w:ascii="Tahoma" w:hAnsi="Tahoma" w:cs="Tahoma"/>
          <w:i/>
        </w:rPr>
        <w:t>W</w:t>
      </w:r>
      <w:r w:rsidR="003E5E60" w:rsidRPr="004B01FC">
        <w:rPr>
          <w:rFonts w:ascii="Tahoma" w:hAnsi="Tahoma" w:cs="Tahoma"/>
          <w:i/>
        </w:rPr>
        <w:t xml:space="preserve">oodworking </w:t>
      </w:r>
      <w:r w:rsidR="00AA38DE" w:rsidRPr="004B01FC">
        <w:rPr>
          <w:rFonts w:ascii="Tahoma" w:hAnsi="Tahoma" w:cs="Tahoma"/>
          <w:i/>
        </w:rPr>
        <w:t>F</w:t>
      </w:r>
      <w:r w:rsidR="003E5E60" w:rsidRPr="004B01FC">
        <w:rPr>
          <w:rFonts w:ascii="Tahoma" w:hAnsi="Tahoma" w:cs="Tahoma"/>
          <w:i/>
        </w:rPr>
        <w:t>ederation</w:t>
      </w:r>
      <w:r w:rsidR="00AA38DE" w:rsidRPr="004B01FC">
        <w:rPr>
          <w:rFonts w:ascii="Tahoma" w:hAnsi="Tahoma" w:cs="Tahoma"/>
          <w:i/>
        </w:rPr>
        <w:t xml:space="preserve"> Policy Executive, on behalf of the UK Timber Industry Associations’ Accord</w:t>
      </w:r>
    </w:p>
    <w:p w:rsidR="004B42C7" w:rsidRPr="004B01FC" w:rsidRDefault="004B42C7" w:rsidP="00147DF7">
      <w:pPr>
        <w:autoSpaceDE w:val="0"/>
        <w:autoSpaceDN w:val="0"/>
        <w:adjustRightInd w:val="0"/>
        <w:rPr>
          <w:rFonts w:ascii="Tahoma" w:hAnsi="Tahoma" w:cs="Tahoma"/>
          <w:b/>
        </w:rPr>
      </w:pPr>
    </w:p>
    <w:p w:rsidR="004B01FC" w:rsidRPr="004B01FC" w:rsidRDefault="004B01FC" w:rsidP="00147DF7">
      <w:pPr>
        <w:autoSpaceDE w:val="0"/>
        <w:autoSpaceDN w:val="0"/>
        <w:adjustRightInd w:val="0"/>
        <w:rPr>
          <w:rFonts w:ascii="Tahoma" w:hAnsi="Tahoma" w:cs="Tahoma"/>
          <w:b/>
        </w:rPr>
      </w:pPr>
      <w:r w:rsidRPr="004B01FC">
        <w:rPr>
          <w:rFonts w:ascii="Tahoma" w:hAnsi="Tahoma" w:cs="Tahoma"/>
          <w:b/>
        </w:rPr>
        <w:t>The UK Timber Industry Associations’ Accord</w:t>
      </w:r>
    </w:p>
    <w:p w:rsidR="004B42C7" w:rsidRDefault="004B01FC" w:rsidP="00147DF7">
      <w:pPr>
        <w:autoSpaceDE w:val="0"/>
        <w:autoSpaceDN w:val="0"/>
        <w:adjustRightInd w:val="0"/>
        <w:rPr>
          <w:rFonts w:ascii="Tahoma" w:hAnsi="Tahoma" w:cs="Tahoma"/>
        </w:rPr>
      </w:pPr>
      <w:r>
        <w:rPr>
          <w:rFonts w:ascii="Tahoma" w:hAnsi="Tahoma" w:cs="Tahoma"/>
        </w:rPr>
        <w:t>There are 14</w:t>
      </w:r>
      <w:r w:rsidR="004B42C7" w:rsidRPr="004B01FC">
        <w:rPr>
          <w:rFonts w:ascii="Tahoma" w:hAnsi="Tahoma" w:cs="Tahoma"/>
        </w:rPr>
        <w:t xml:space="preserve"> signatories to</w:t>
      </w:r>
      <w:r>
        <w:rPr>
          <w:rFonts w:ascii="Tahoma" w:hAnsi="Tahoma" w:cs="Tahoma"/>
        </w:rPr>
        <w:t xml:space="preserve"> the Timber Industry Accord</w:t>
      </w:r>
      <w:r w:rsidR="00DC00B3">
        <w:rPr>
          <w:rFonts w:ascii="Tahoma" w:hAnsi="Tahoma" w:cs="Tahoma"/>
        </w:rPr>
        <w:t>. From windows to Roof t</w:t>
      </w:r>
      <w:r w:rsidR="004B42C7" w:rsidRPr="004B01FC">
        <w:rPr>
          <w:rFonts w:ascii="Tahoma" w:hAnsi="Tahoma" w:cs="Tahoma"/>
        </w:rPr>
        <w:t>russes, a wide variety of wood and</w:t>
      </w:r>
      <w:r>
        <w:rPr>
          <w:rFonts w:ascii="Tahoma" w:hAnsi="Tahoma" w:cs="Tahoma"/>
        </w:rPr>
        <w:t xml:space="preserve"> wood products are represented.</w:t>
      </w:r>
    </w:p>
    <w:p w:rsidR="004B01FC" w:rsidRPr="004B01FC" w:rsidRDefault="004B01FC" w:rsidP="00147DF7">
      <w:pPr>
        <w:autoSpaceDE w:val="0"/>
        <w:autoSpaceDN w:val="0"/>
        <w:adjustRightInd w:val="0"/>
        <w:rPr>
          <w:rFonts w:ascii="Tahoma" w:hAnsi="Tahoma" w:cs="Tahoma"/>
        </w:rPr>
      </w:pPr>
    </w:p>
    <w:p w:rsidR="004B42C7" w:rsidRPr="004B01FC" w:rsidRDefault="004B42C7" w:rsidP="00147DF7">
      <w:pPr>
        <w:autoSpaceDE w:val="0"/>
        <w:autoSpaceDN w:val="0"/>
        <w:adjustRightInd w:val="0"/>
        <w:rPr>
          <w:rFonts w:ascii="Tahoma" w:hAnsi="Tahoma" w:cs="Tahoma"/>
          <w:b/>
        </w:rPr>
      </w:pPr>
      <w:r w:rsidRPr="004B01FC">
        <w:rPr>
          <w:rFonts w:ascii="Tahoma" w:hAnsi="Tahoma" w:cs="Tahoma"/>
          <w:b/>
        </w:rPr>
        <w:t>British Woodworking Federation</w:t>
      </w:r>
    </w:p>
    <w:p w:rsidR="004B42C7" w:rsidRPr="004B01FC" w:rsidRDefault="004B42C7" w:rsidP="00147DF7">
      <w:pPr>
        <w:autoSpaceDE w:val="0"/>
        <w:autoSpaceDN w:val="0"/>
        <w:adjustRightInd w:val="0"/>
        <w:rPr>
          <w:rFonts w:ascii="Tahoma" w:hAnsi="Tahoma" w:cs="Tahoma"/>
          <w:b/>
        </w:rPr>
      </w:pPr>
      <w:proofErr w:type="spellStart"/>
      <w:r w:rsidRPr="004B01FC">
        <w:rPr>
          <w:rFonts w:ascii="Tahoma" w:hAnsi="Tahoma" w:cs="Tahoma"/>
          <w:b/>
        </w:rPr>
        <w:t>Confor</w:t>
      </w:r>
      <w:proofErr w:type="spellEnd"/>
    </w:p>
    <w:p w:rsidR="004B42C7" w:rsidRPr="004B01FC" w:rsidRDefault="004B42C7" w:rsidP="00147DF7">
      <w:pPr>
        <w:autoSpaceDE w:val="0"/>
        <w:autoSpaceDN w:val="0"/>
        <w:adjustRightInd w:val="0"/>
        <w:rPr>
          <w:rFonts w:ascii="Tahoma" w:hAnsi="Tahoma" w:cs="Tahoma"/>
          <w:b/>
        </w:rPr>
      </w:pPr>
      <w:r w:rsidRPr="004B01FC">
        <w:rPr>
          <w:rFonts w:ascii="Tahoma" w:hAnsi="Tahoma" w:cs="Tahoma"/>
          <w:b/>
        </w:rPr>
        <w:t>Glued Laminated Timber Association</w:t>
      </w:r>
    </w:p>
    <w:p w:rsidR="004B01FC" w:rsidRPr="004B01FC" w:rsidRDefault="004B01FC" w:rsidP="004B01FC">
      <w:pPr>
        <w:autoSpaceDE w:val="0"/>
        <w:autoSpaceDN w:val="0"/>
        <w:adjustRightInd w:val="0"/>
        <w:rPr>
          <w:rFonts w:ascii="Tahoma" w:hAnsi="Tahoma" w:cs="Tahoma"/>
          <w:b/>
        </w:rPr>
      </w:pPr>
      <w:r w:rsidRPr="004B01FC">
        <w:rPr>
          <w:rFonts w:ascii="Tahoma" w:hAnsi="Tahoma" w:cs="Tahoma"/>
          <w:b/>
        </w:rPr>
        <w:t>Structural Timber Association</w:t>
      </w:r>
    </w:p>
    <w:p w:rsidR="004B42C7" w:rsidRPr="004B01FC" w:rsidRDefault="004B42C7" w:rsidP="00147DF7">
      <w:pPr>
        <w:autoSpaceDE w:val="0"/>
        <w:autoSpaceDN w:val="0"/>
        <w:adjustRightInd w:val="0"/>
        <w:rPr>
          <w:rFonts w:ascii="Tahoma" w:hAnsi="Tahoma" w:cs="Tahoma"/>
          <w:b/>
        </w:rPr>
      </w:pPr>
      <w:r w:rsidRPr="004B01FC">
        <w:rPr>
          <w:rFonts w:ascii="Tahoma" w:hAnsi="Tahoma" w:cs="Tahoma"/>
          <w:b/>
        </w:rPr>
        <w:t>Timber Packaging and Pallet Confederation</w:t>
      </w:r>
    </w:p>
    <w:p w:rsidR="004B42C7" w:rsidRPr="004B01FC" w:rsidRDefault="004B42C7" w:rsidP="00147DF7">
      <w:pPr>
        <w:autoSpaceDE w:val="0"/>
        <w:autoSpaceDN w:val="0"/>
        <w:adjustRightInd w:val="0"/>
        <w:rPr>
          <w:rFonts w:ascii="Tahoma" w:hAnsi="Tahoma" w:cs="Tahoma"/>
          <w:b/>
        </w:rPr>
      </w:pPr>
      <w:r w:rsidRPr="004B01FC">
        <w:rPr>
          <w:rFonts w:ascii="Tahoma" w:hAnsi="Tahoma" w:cs="Tahoma"/>
          <w:b/>
        </w:rPr>
        <w:t>Timber Research and Development Association</w:t>
      </w:r>
    </w:p>
    <w:p w:rsidR="004B01FC" w:rsidRPr="004B01FC" w:rsidRDefault="004B01FC" w:rsidP="004B01FC">
      <w:pPr>
        <w:autoSpaceDE w:val="0"/>
        <w:autoSpaceDN w:val="0"/>
        <w:adjustRightInd w:val="0"/>
        <w:rPr>
          <w:rFonts w:ascii="Tahoma" w:hAnsi="Tahoma" w:cs="Tahoma"/>
          <w:b/>
        </w:rPr>
      </w:pPr>
      <w:r w:rsidRPr="004B01FC">
        <w:rPr>
          <w:rFonts w:ascii="Tahoma" w:hAnsi="Tahoma" w:cs="Tahoma"/>
          <w:b/>
        </w:rPr>
        <w:t>Timber Trade Federation</w:t>
      </w:r>
    </w:p>
    <w:p w:rsidR="004B42C7" w:rsidRPr="004B01FC" w:rsidRDefault="004B42C7" w:rsidP="00147DF7">
      <w:pPr>
        <w:autoSpaceDE w:val="0"/>
        <w:autoSpaceDN w:val="0"/>
        <w:adjustRightInd w:val="0"/>
        <w:rPr>
          <w:rFonts w:ascii="Tahoma" w:hAnsi="Tahoma" w:cs="Tahoma"/>
          <w:b/>
        </w:rPr>
      </w:pPr>
      <w:r w:rsidRPr="004B01FC">
        <w:rPr>
          <w:rFonts w:ascii="Tahoma" w:hAnsi="Tahoma" w:cs="Tahoma"/>
          <w:b/>
        </w:rPr>
        <w:t>Trussed Rafter Association</w:t>
      </w:r>
    </w:p>
    <w:p w:rsidR="004B42C7" w:rsidRPr="004B01FC" w:rsidRDefault="004B42C7" w:rsidP="00147DF7">
      <w:pPr>
        <w:autoSpaceDE w:val="0"/>
        <w:autoSpaceDN w:val="0"/>
        <w:adjustRightInd w:val="0"/>
        <w:rPr>
          <w:rFonts w:ascii="Tahoma" w:hAnsi="Tahoma" w:cs="Tahoma"/>
          <w:b/>
        </w:rPr>
      </w:pPr>
      <w:r w:rsidRPr="004B01FC">
        <w:rPr>
          <w:rFonts w:ascii="Tahoma" w:hAnsi="Tahoma" w:cs="Tahoma"/>
          <w:b/>
        </w:rPr>
        <w:t>UK Forest Products Association</w:t>
      </w:r>
    </w:p>
    <w:p w:rsidR="004B42C7" w:rsidRPr="004B01FC" w:rsidRDefault="004B42C7" w:rsidP="00147DF7">
      <w:pPr>
        <w:autoSpaceDE w:val="0"/>
        <w:autoSpaceDN w:val="0"/>
        <w:adjustRightInd w:val="0"/>
        <w:rPr>
          <w:rFonts w:ascii="Tahoma" w:hAnsi="Tahoma" w:cs="Tahoma"/>
          <w:b/>
        </w:rPr>
      </w:pPr>
      <w:r w:rsidRPr="004B01FC">
        <w:rPr>
          <w:rFonts w:ascii="Tahoma" w:hAnsi="Tahoma" w:cs="Tahoma"/>
          <w:b/>
        </w:rPr>
        <w:t>UK SIP Association</w:t>
      </w:r>
    </w:p>
    <w:p w:rsidR="004B42C7" w:rsidRPr="004B01FC" w:rsidRDefault="004B42C7" w:rsidP="00147DF7">
      <w:pPr>
        <w:autoSpaceDE w:val="0"/>
        <w:autoSpaceDN w:val="0"/>
        <w:adjustRightInd w:val="0"/>
        <w:rPr>
          <w:rFonts w:ascii="Tahoma" w:hAnsi="Tahoma" w:cs="Tahoma"/>
          <w:b/>
        </w:rPr>
      </w:pPr>
      <w:r w:rsidRPr="004B01FC">
        <w:rPr>
          <w:rFonts w:ascii="Tahoma" w:hAnsi="Tahoma" w:cs="Tahoma"/>
          <w:b/>
        </w:rPr>
        <w:t>Wood for Good</w:t>
      </w:r>
    </w:p>
    <w:p w:rsidR="004B42C7" w:rsidRPr="004B01FC" w:rsidRDefault="004B42C7" w:rsidP="00147DF7">
      <w:pPr>
        <w:autoSpaceDE w:val="0"/>
        <w:autoSpaceDN w:val="0"/>
        <w:adjustRightInd w:val="0"/>
        <w:rPr>
          <w:rFonts w:ascii="Tahoma" w:hAnsi="Tahoma" w:cs="Tahoma"/>
          <w:b/>
        </w:rPr>
      </w:pPr>
      <w:r w:rsidRPr="004B01FC">
        <w:rPr>
          <w:rFonts w:ascii="Tahoma" w:hAnsi="Tahoma" w:cs="Tahoma"/>
          <w:b/>
        </w:rPr>
        <w:t>Wood Panel Industries Federation</w:t>
      </w:r>
    </w:p>
    <w:p w:rsidR="004B01FC" w:rsidRPr="004B01FC" w:rsidRDefault="004B01FC" w:rsidP="004B01FC">
      <w:pPr>
        <w:autoSpaceDE w:val="0"/>
        <w:autoSpaceDN w:val="0"/>
        <w:adjustRightInd w:val="0"/>
        <w:rPr>
          <w:rFonts w:ascii="Tahoma" w:hAnsi="Tahoma" w:cs="Tahoma"/>
          <w:b/>
        </w:rPr>
      </w:pPr>
      <w:r w:rsidRPr="004B01FC">
        <w:rPr>
          <w:rFonts w:ascii="Tahoma" w:hAnsi="Tahoma" w:cs="Tahoma"/>
          <w:b/>
        </w:rPr>
        <w:t>Wood Protection Association &amp; Timber Cladding and Decking Association</w:t>
      </w:r>
    </w:p>
    <w:p w:rsidR="004B42C7" w:rsidRPr="004B01FC" w:rsidRDefault="004B42C7" w:rsidP="00147DF7">
      <w:pPr>
        <w:autoSpaceDE w:val="0"/>
        <w:autoSpaceDN w:val="0"/>
        <w:adjustRightInd w:val="0"/>
        <w:rPr>
          <w:rFonts w:ascii="Tahoma" w:hAnsi="Tahoma" w:cs="Tahoma"/>
          <w:b/>
        </w:rPr>
      </w:pPr>
      <w:r w:rsidRPr="004B01FC">
        <w:rPr>
          <w:rFonts w:ascii="Tahoma" w:hAnsi="Tahoma" w:cs="Tahoma"/>
          <w:b/>
        </w:rPr>
        <w:t>Wood Window</w:t>
      </w:r>
      <w:r w:rsidR="003E5E60" w:rsidRPr="004B01FC">
        <w:rPr>
          <w:rFonts w:ascii="Tahoma" w:hAnsi="Tahoma" w:cs="Tahoma"/>
          <w:b/>
        </w:rPr>
        <w:t xml:space="preserve"> Allian</w:t>
      </w:r>
      <w:r w:rsidRPr="004B01FC">
        <w:rPr>
          <w:rFonts w:ascii="Tahoma" w:hAnsi="Tahoma" w:cs="Tahoma"/>
          <w:b/>
        </w:rPr>
        <w:t>ce</w:t>
      </w:r>
    </w:p>
    <w:sectPr w:rsidR="004B42C7" w:rsidRPr="004B01FC" w:rsidSect="00CF78C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477" w:rsidRDefault="00922477" w:rsidP="00996AD1">
      <w:pPr>
        <w:spacing w:after="0" w:line="240" w:lineRule="auto"/>
      </w:pPr>
      <w:r>
        <w:separator/>
      </w:r>
    </w:p>
  </w:endnote>
  <w:endnote w:type="continuationSeparator" w:id="0">
    <w:p w:rsidR="00922477" w:rsidRDefault="00922477" w:rsidP="00996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987835"/>
      <w:docPartObj>
        <w:docPartGallery w:val="Page Numbers (Bottom of Page)"/>
        <w:docPartUnique/>
      </w:docPartObj>
    </w:sdtPr>
    <w:sdtContent>
      <w:sdt>
        <w:sdtPr>
          <w:id w:val="98381352"/>
          <w:docPartObj>
            <w:docPartGallery w:val="Page Numbers (Top of Page)"/>
            <w:docPartUnique/>
          </w:docPartObj>
        </w:sdtPr>
        <w:sdtContent>
          <w:p w:rsidR="00922477" w:rsidRDefault="00922477">
            <w:pPr>
              <w:pStyle w:val="Footer"/>
            </w:pPr>
            <w:r>
              <w:t xml:space="preserve">Page </w:t>
            </w:r>
            <w:r w:rsidR="002B2C43">
              <w:rPr>
                <w:b/>
                <w:sz w:val="24"/>
                <w:szCs w:val="24"/>
              </w:rPr>
              <w:fldChar w:fldCharType="begin"/>
            </w:r>
            <w:r>
              <w:rPr>
                <w:b/>
              </w:rPr>
              <w:instrText xml:space="preserve"> PAGE </w:instrText>
            </w:r>
            <w:r w:rsidR="002B2C43">
              <w:rPr>
                <w:b/>
                <w:sz w:val="24"/>
                <w:szCs w:val="24"/>
              </w:rPr>
              <w:fldChar w:fldCharType="separate"/>
            </w:r>
            <w:r w:rsidR="00DC00B3">
              <w:rPr>
                <w:b/>
                <w:noProof/>
              </w:rPr>
              <w:t>4</w:t>
            </w:r>
            <w:r w:rsidR="002B2C43">
              <w:rPr>
                <w:b/>
                <w:sz w:val="24"/>
                <w:szCs w:val="24"/>
              </w:rPr>
              <w:fldChar w:fldCharType="end"/>
            </w:r>
            <w:r>
              <w:t xml:space="preserve"> of </w:t>
            </w:r>
            <w:r w:rsidR="002B2C43">
              <w:rPr>
                <w:b/>
                <w:sz w:val="24"/>
                <w:szCs w:val="24"/>
              </w:rPr>
              <w:fldChar w:fldCharType="begin"/>
            </w:r>
            <w:r>
              <w:rPr>
                <w:b/>
              </w:rPr>
              <w:instrText xml:space="preserve"> NUMPAGES  </w:instrText>
            </w:r>
            <w:r w:rsidR="002B2C43">
              <w:rPr>
                <w:b/>
                <w:sz w:val="24"/>
                <w:szCs w:val="24"/>
              </w:rPr>
              <w:fldChar w:fldCharType="separate"/>
            </w:r>
            <w:r w:rsidR="00DC00B3">
              <w:rPr>
                <w:b/>
                <w:noProof/>
              </w:rPr>
              <w:t>4</w:t>
            </w:r>
            <w:r w:rsidR="002B2C43">
              <w:rPr>
                <w:b/>
                <w:sz w:val="24"/>
                <w:szCs w:val="24"/>
              </w:rPr>
              <w:fldChar w:fldCharType="end"/>
            </w:r>
          </w:p>
        </w:sdtContent>
      </w:sdt>
    </w:sdtContent>
  </w:sdt>
  <w:p w:rsidR="00922477" w:rsidRDefault="009224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477" w:rsidRDefault="00922477" w:rsidP="00996AD1">
      <w:pPr>
        <w:spacing w:after="0" w:line="240" w:lineRule="auto"/>
      </w:pPr>
      <w:r>
        <w:separator/>
      </w:r>
    </w:p>
  </w:footnote>
  <w:footnote w:type="continuationSeparator" w:id="0">
    <w:p w:rsidR="00922477" w:rsidRDefault="00922477" w:rsidP="00996AD1">
      <w:pPr>
        <w:spacing w:after="0" w:line="240" w:lineRule="auto"/>
      </w:pPr>
      <w:r>
        <w:continuationSeparator/>
      </w:r>
    </w:p>
  </w:footnote>
  <w:footnote w:id="1">
    <w:p w:rsidR="003E5E60" w:rsidRPr="003E5E60" w:rsidRDefault="003E5E60" w:rsidP="003E5E60">
      <w:pPr>
        <w:autoSpaceDE w:val="0"/>
        <w:autoSpaceDN w:val="0"/>
        <w:adjustRightInd w:val="0"/>
        <w:rPr>
          <w:rFonts w:ascii="Tahoma" w:hAnsi="Tahoma" w:cs="Tahoma"/>
        </w:rPr>
      </w:pPr>
      <w:r>
        <w:rPr>
          <w:rStyle w:val="FootnoteReference"/>
        </w:rPr>
        <w:footnoteRef/>
      </w:r>
      <w:r>
        <w:t xml:space="preserve"> </w:t>
      </w:r>
      <w:r w:rsidRPr="003E5E60">
        <w:rPr>
          <w:rFonts w:ascii="Tahoma" w:hAnsi="Tahoma" w:cs="Tahoma"/>
          <w:sz w:val="18"/>
          <w:szCs w:val="18"/>
        </w:rPr>
        <w:t>Grown In Britain Campaign</w:t>
      </w:r>
      <w:r>
        <w:rPr>
          <w:rFonts w:ascii="Tahoma" w:hAnsi="Tahoma" w:cs="Tahoma"/>
          <w:sz w:val="18"/>
          <w:szCs w:val="18"/>
        </w:rPr>
        <w:t>:</w:t>
      </w:r>
      <w:r w:rsidRPr="003E5E60">
        <w:rPr>
          <w:rFonts w:ascii="Tahoma" w:hAnsi="Tahoma" w:cs="Tahoma"/>
          <w:sz w:val="18"/>
          <w:szCs w:val="18"/>
        </w:rPr>
        <w:t xml:space="preserve"> </w:t>
      </w:r>
      <w:hyperlink r:id="rId1" w:history="1">
        <w:r w:rsidRPr="003E5E60">
          <w:rPr>
            <w:rFonts w:ascii="Tahoma" w:hAnsi="Tahoma" w:cs="Tahoma"/>
            <w:color w:val="4F6228" w:themeColor="accent3" w:themeShade="80"/>
            <w:sz w:val="18"/>
            <w:szCs w:val="18"/>
          </w:rPr>
          <w:t>http://www.growninbritain.org/</w:t>
        </w:r>
      </w:hyperlink>
    </w:p>
  </w:footnote>
  <w:footnote w:id="2">
    <w:p w:rsidR="00D578CF" w:rsidRPr="00922477" w:rsidRDefault="00D578CF" w:rsidP="00D578CF">
      <w:pPr>
        <w:autoSpaceDE w:val="0"/>
        <w:autoSpaceDN w:val="0"/>
        <w:adjustRightInd w:val="0"/>
        <w:rPr>
          <w:rFonts w:ascii="Tahoma" w:hAnsi="Tahoma" w:cs="Tahoma"/>
          <w:sz w:val="18"/>
          <w:szCs w:val="18"/>
        </w:rPr>
      </w:pPr>
      <w:r w:rsidRPr="00922477">
        <w:rPr>
          <w:rStyle w:val="FootnoteReference"/>
          <w:sz w:val="18"/>
          <w:szCs w:val="18"/>
        </w:rPr>
        <w:footnoteRef/>
      </w:r>
      <w:r w:rsidRPr="00922477">
        <w:rPr>
          <w:sz w:val="18"/>
          <w:szCs w:val="18"/>
        </w:rPr>
        <w:t xml:space="preserve"> </w:t>
      </w:r>
      <w:r w:rsidRPr="00922477">
        <w:rPr>
          <w:rFonts w:ascii="Tahoma" w:hAnsi="Tahoma" w:cs="Tahoma"/>
          <w:sz w:val="18"/>
          <w:szCs w:val="18"/>
        </w:rPr>
        <w:t>Life Cycle Assessment of timber, modified timber an</w:t>
      </w:r>
      <w:r>
        <w:rPr>
          <w:rFonts w:ascii="Tahoma" w:hAnsi="Tahoma" w:cs="Tahoma"/>
          <w:sz w:val="18"/>
          <w:szCs w:val="18"/>
        </w:rPr>
        <w:t>d aluminium-clad timber windows:</w:t>
      </w:r>
      <w:r w:rsidRPr="00922477">
        <w:rPr>
          <w:rFonts w:ascii="Tahoma" w:hAnsi="Tahoma" w:cs="Tahoma"/>
          <w:sz w:val="18"/>
          <w:szCs w:val="18"/>
        </w:rPr>
        <w:t xml:space="preserve"> </w:t>
      </w:r>
      <w:hyperlink r:id="rId2" w:history="1">
        <w:r w:rsidRPr="00922477">
          <w:rPr>
            <w:rFonts w:ascii="Tahoma" w:hAnsi="Tahoma" w:cs="Tahoma"/>
            <w:color w:val="4F6228" w:themeColor="accent3" w:themeShade="80"/>
            <w:sz w:val="18"/>
            <w:szCs w:val="18"/>
          </w:rPr>
          <w:t>http://woodwindowalliance.com/medialibrary/uploads/Documents/pdf/Final%20report%20SLP%20WLC%20and%20LCA.pdf</w:t>
        </w:r>
      </w:hyperlink>
    </w:p>
    <w:p w:rsidR="00D578CF" w:rsidRDefault="00D578CF" w:rsidP="00D578CF">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77" w:rsidRDefault="002B2C4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70564" o:spid="_x0000_s2049" type="#_x0000_t75" style="position:absolute;margin-left:283.5pt;margin-top:-57.65pt;width:193.5pt;height:63pt;z-index:-251658752;mso-position-horizontal-relative:margin;mso-position-vertical-relative:margin" o:allowincell="f">
          <v:imagedata r:id="rId1" o:title="Accord TRADA headed paper_Page_1" croptop="2367f" cropbottom="56543f" cropleft="34868f" cropright="1896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495845"/>
    <w:rsid w:val="00046246"/>
    <w:rsid w:val="000950C3"/>
    <w:rsid w:val="000C47C6"/>
    <w:rsid w:val="00147DF7"/>
    <w:rsid w:val="00166BEA"/>
    <w:rsid w:val="00291FA8"/>
    <w:rsid w:val="002B2C43"/>
    <w:rsid w:val="003321B8"/>
    <w:rsid w:val="003E5E60"/>
    <w:rsid w:val="004726A4"/>
    <w:rsid w:val="00483885"/>
    <w:rsid w:val="00495845"/>
    <w:rsid w:val="004B01FC"/>
    <w:rsid w:val="004B42C7"/>
    <w:rsid w:val="00521B89"/>
    <w:rsid w:val="00606336"/>
    <w:rsid w:val="00665A1C"/>
    <w:rsid w:val="00751D9D"/>
    <w:rsid w:val="00922477"/>
    <w:rsid w:val="00973A2F"/>
    <w:rsid w:val="00996AD1"/>
    <w:rsid w:val="009B0669"/>
    <w:rsid w:val="00AA38DE"/>
    <w:rsid w:val="00CF3415"/>
    <w:rsid w:val="00CF78C3"/>
    <w:rsid w:val="00D343E7"/>
    <w:rsid w:val="00D578CF"/>
    <w:rsid w:val="00D72252"/>
    <w:rsid w:val="00D732CF"/>
    <w:rsid w:val="00DC00B3"/>
    <w:rsid w:val="00E10947"/>
    <w:rsid w:val="00E329D7"/>
    <w:rsid w:val="00E9692E"/>
    <w:rsid w:val="00F272A6"/>
    <w:rsid w:val="00F4364B"/>
    <w:rsid w:val="00F753CF"/>
    <w:rsid w:val="00FB52A4"/>
    <w:rsid w:val="00FC0C6A"/>
    <w:rsid w:val="00FC56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2"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A1C"/>
  </w:style>
  <w:style w:type="paragraph" w:styleId="Heading1">
    <w:name w:val="heading 1"/>
    <w:basedOn w:val="Normal"/>
    <w:link w:val="Heading1Char"/>
    <w:uiPriority w:val="9"/>
    <w:qFormat/>
    <w:rsid w:val="00F753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845"/>
    <w:rPr>
      <w:rFonts w:ascii="Tahoma" w:hAnsi="Tahoma" w:cs="Tahoma"/>
      <w:sz w:val="16"/>
      <w:szCs w:val="16"/>
    </w:rPr>
  </w:style>
  <w:style w:type="paragraph" w:styleId="Header">
    <w:name w:val="header"/>
    <w:basedOn w:val="Normal"/>
    <w:link w:val="HeaderChar"/>
    <w:uiPriority w:val="99"/>
    <w:semiHidden/>
    <w:unhideWhenUsed/>
    <w:rsid w:val="00996AD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96AD1"/>
  </w:style>
  <w:style w:type="paragraph" w:styleId="Footer">
    <w:name w:val="footer"/>
    <w:basedOn w:val="Normal"/>
    <w:link w:val="FooterChar"/>
    <w:uiPriority w:val="99"/>
    <w:unhideWhenUsed/>
    <w:rsid w:val="00996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AD1"/>
  </w:style>
  <w:style w:type="character" w:customStyle="1" w:styleId="Heading1Char">
    <w:name w:val="Heading 1 Char"/>
    <w:basedOn w:val="DefaultParagraphFont"/>
    <w:link w:val="Heading1"/>
    <w:uiPriority w:val="9"/>
    <w:rsid w:val="00F753C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4B42C7"/>
    <w:rPr>
      <w:color w:val="0000FF" w:themeColor="hyperlink"/>
      <w:u w:val="single"/>
    </w:rPr>
  </w:style>
  <w:style w:type="paragraph" w:styleId="NoSpacing">
    <w:name w:val="No Spacing"/>
    <w:uiPriority w:val="1"/>
    <w:qFormat/>
    <w:rsid w:val="004B42C7"/>
    <w:pPr>
      <w:spacing w:after="0" w:line="240" w:lineRule="auto"/>
    </w:pPr>
  </w:style>
  <w:style w:type="paragraph" w:styleId="FootnoteText">
    <w:name w:val="footnote text"/>
    <w:basedOn w:val="Normal"/>
    <w:link w:val="FootnoteTextChar"/>
    <w:uiPriority w:val="99"/>
    <w:semiHidden/>
    <w:unhideWhenUsed/>
    <w:rsid w:val="009224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477"/>
    <w:rPr>
      <w:sz w:val="20"/>
      <w:szCs w:val="20"/>
    </w:rPr>
  </w:style>
  <w:style w:type="character" w:styleId="FootnoteReference">
    <w:name w:val="footnote reference"/>
    <w:basedOn w:val="DefaultParagraphFont"/>
    <w:uiPriority w:val="99"/>
    <w:semiHidden/>
    <w:unhideWhenUsed/>
    <w:rsid w:val="0092247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8563390">
      <w:bodyDiv w:val="1"/>
      <w:marLeft w:val="0"/>
      <w:marRight w:val="0"/>
      <w:marTop w:val="0"/>
      <w:marBottom w:val="0"/>
      <w:divBdr>
        <w:top w:val="none" w:sz="0" w:space="0" w:color="auto"/>
        <w:left w:val="none" w:sz="0" w:space="0" w:color="auto"/>
        <w:bottom w:val="none" w:sz="0" w:space="0" w:color="auto"/>
        <w:right w:val="none" w:sz="0" w:space="0" w:color="auto"/>
      </w:divBdr>
    </w:div>
    <w:div w:id="1433356836">
      <w:bodyDiv w:val="1"/>
      <w:marLeft w:val="0"/>
      <w:marRight w:val="0"/>
      <w:marTop w:val="0"/>
      <w:marBottom w:val="0"/>
      <w:divBdr>
        <w:top w:val="none" w:sz="0" w:space="0" w:color="auto"/>
        <w:left w:val="none" w:sz="0" w:space="0" w:color="auto"/>
        <w:bottom w:val="none" w:sz="0" w:space="0" w:color="auto"/>
        <w:right w:val="none" w:sz="0" w:space="0" w:color="auto"/>
      </w:divBdr>
    </w:div>
    <w:div w:id="187546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oodwindowalliance.com/medialibrary/uploads/Documents/pdf/Final%20report%20SLP%20WLC%20and%20LCA.pdf" TargetMode="External"/><Relationship Id="rId1" Type="http://schemas.openxmlformats.org/officeDocument/2006/relationships/hyperlink" Target="http://www.growninbrita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F541A-5795-4880-8587-2108F47B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826</Words>
  <Characters>4710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matthew.mahony</cp:lastModifiedBy>
  <cp:revision>2</cp:revision>
  <cp:lastPrinted>2013-10-11T15:03:00Z</cp:lastPrinted>
  <dcterms:created xsi:type="dcterms:W3CDTF">2013-10-15T14:45:00Z</dcterms:created>
  <dcterms:modified xsi:type="dcterms:W3CDTF">2013-10-15T14:45:00Z</dcterms:modified>
</cp:coreProperties>
</file>